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8"/>
          <w:szCs w:val="28"/>
        </w:rPr>
      </w:pPr>
    </w:p>
    <w:p>
      <w:pPr>
        <w:jc w:val="center"/>
        <w:rPr>
          <w:rFonts w:ascii="宋体" w:hAnsi="宋体"/>
          <w:sz w:val="28"/>
          <w:szCs w:val="28"/>
        </w:rPr>
      </w:pPr>
    </w:p>
    <w:p>
      <w:pPr>
        <w:jc w:val="center"/>
        <w:rPr>
          <w:rFonts w:ascii="宋体" w:hAnsi="宋体"/>
          <w:sz w:val="28"/>
          <w:szCs w:val="28"/>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440" w:lineRule="exact"/>
        <w:jc w:val="center"/>
        <w:rPr>
          <w:rFonts w:ascii="黑体" w:eastAsia="黑体"/>
          <w:sz w:val="28"/>
          <w:szCs w:val="28"/>
        </w:rPr>
      </w:pPr>
    </w:p>
    <w:p>
      <w:pPr>
        <w:spacing w:line="620" w:lineRule="exact"/>
        <w:ind w:firstLine="640" w:firstLineChars="200"/>
        <w:rPr>
          <w:rFonts w:ascii="仿宋_GB2312" w:eastAsia="仿宋_GB2312"/>
          <w:sz w:val="32"/>
        </w:rPr>
      </w:pPr>
      <w:r>
        <w:rPr>
          <w:rFonts w:hint="eastAsia" w:ascii="仿宋_GB2312" w:eastAsia="仿宋_GB2312"/>
          <w:sz w:val="32"/>
        </w:rPr>
        <w:t>为实施广州市花都区花山镇建设规划，完善城市功能，改善城市环境，促进经济、文化发展。我区拟征收广州市花都区花山镇平东村第十一经济合作社、第十二经济合作社、第十三经济合作社</w:t>
      </w:r>
      <w:r>
        <w:rPr>
          <w:rFonts w:hint="eastAsia" w:ascii="仿宋_GB2312" w:hAnsi="仿宋_GB2312" w:eastAsia="仿宋_GB2312" w:cs="仿宋_GB2312"/>
          <w:sz w:val="32"/>
        </w:rPr>
        <w:t>属下</w:t>
      </w:r>
      <w:r>
        <w:rPr>
          <w:rFonts w:ascii="仿宋_GB2312" w:hAnsi="仿宋_GB2312" w:eastAsia="仿宋_GB2312" w:cs="仿宋_GB2312"/>
          <w:sz w:val="32"/>
        </w:rPr>
        <w:t>的</w:t>
      </w:r>
      <w:r>
        <w:rPr>
          <w:rFonts w:hint="eastAsia" w:ascii="仿宋_GB2312" w:eastAsia="仿宋_GB2312"/>
          <w:sz w:val="32"/>
        </w:rPr>
        <w:t>集体土地0.4375公顷。根据《中华人民共和国土地管理法》第二条、第四十五条、第四十七条有关规定精神、《广东省实施&lt;中华人民共和国土地管理法&gt;办法》第三十条等规定，</w:t>
      </w:r>
      <w:r>
        <w:rPr>
          <w:rFonts w:hint="eastAsia" w:eastAsia="仿宋_GB2312"/>
          <w:sz w:val="32"/>
          <w:szCs w:val="32"/>
        </w:rPr>
        <w:t>结合我区的征收农用地区片综合地价和实际情况，拟定了征地补偿安置方案，具体如下：</w:t>
      </w:r>
    </w:p>
    <w:p>
      <w:pPr>
        <w:spacing w:line="620" w:lineRule="exact"/>
        <w:ind w:firstLine="640" w:firstLineChars="200"/>
        <w:rPr>
          <w:rFonts w:ascii="黑体" w:hAnsi="黑体" w:eastAsia="黑体" w:cs="黑体"/>
          <w:sz w:val="32"/>
        </w:rPr>
      </w:pPr>
      <w:r>
        <w:rPr>
          <w:rFonts w:hint="eastAsia" w:ascii="黑体" w:hAnsi="黑体" w:eastAsia="黑体" w:cs="黑体"/>
          <w:sz w:val="32"/>
        </w:rPr>
        <w:t>一、征收集体土地情况</w:t>
      </w:r>
    </w:p>
    <w:p>
      <w:pPr>
        <w:spacing w:line="620" w:lineRule="exact"/>
        <w:ind w:firstLine="640" w:firstLineChars="200"/>
        <w:rPr>
          <w:rFonts w:ascii="仿宋_GB2312" w:eastAsia="仿宋_GB2312"/>
          <w:sz w:val="32"/>
        </w:rPr>
      </w:pPr>
      <w:r>
        <w:rPr>
          <w:rFonts w:hint="eastAsia" w:ascii="仿宋_GB2312" w:eastAsia="仿宋_GB2312"/>
          <w:sz w:val="32"/>
        </w:rPr>
        <w:t>征收集体土地总面积0.4375公顷，其中，农用地0.4375公顷（园地0.2999公顷〈其中可调整果园0.2999公顷</w:t>
      </w:r>
      <w:r>
        <w:rPr>
          <w:rFonts w:ascii="仿宋_GB2312" w:eastAsia="仿宋_GB2312"/>
          <w:sz w:val="32"/>
        </w:rPr>
        <w:t>&gt;</w:t>
      </w:r>
      <w:r>
        <w:rPr>
          <w:rFonts w:hint="eastAsia" w:ascii="仿宋_GB2312" w:eastAsia="仿宋_GB2312"/>
          <w:sz w:val="32"/>
        </w:rPr>
        <w:t>、其他农用地0.1126公顷、养殖水面0.0250〈其中可调整养殖水面0.</w:t>
      </w:r>
      <w:ins w:id="0" w:author="陆倩茹" w:date="2023-10-12T10:37:41Z">
        <w:r>
          <w:rPr>
            <w:rFonts w:hint="eastAsia" w:ascii="仿宋_GB2312" w:eastAsia="仿宋_GB2312"/>
            <w:sz w:val="32"/>
            <w:lang w:val="en-US" w:eastAsia="zh-CN"/>
          </w:rPr>
          <w:t>0</w:t>
        </w:r>
      </w:ins>
      <w:bookmarkStart w:id="0" w:name="_GoBack"/>
      <w:bookmarkEnd w:id="0"/>
      <w:r>
        <w:rPr>
          <w:rFonts w:hint="eastAsia" w:ascii="仿宋_GB2312" w:eastAsia="仿宋_GB2312"/>
          <w:sz w:val="32"/>
        </w:rPr>
        <w:t>250公顷</w:t>
      </w:r>
      <w:r>
        <w:rPr>
          <w:rFonts w:ascii="仿宋_GB2312" w:eastAsia="仿宋_GB2312"/>
          <w:sz w:val="32"/>
        </w:rPr>
        <w:t>&gt;</w:t>
      </w:r>
      <w:r>
        <w:rPr>
          <w:rFonts w:hint="eastAsia" w:ascii="仿宋_GB2312" w:eastAsia="仿宋_GB2312"/>
          <w:sz w:val="32"/>
        </w:rPr>
        <w:t>）。</w:t>
      </w:r>
    </w:p>
    <w:p>
      <w:pPr>
        <w:spacing w:line="620" w:lineRule="exact"/>
        <w:ind w:firstLine="640" w:firstLineChars="200"/>
        <w:rPr>
          <w:rFonts w:ascii="黑体" w:hAnsi="黑体" w:eastAsia="黑体" w:cs="黑体"/>
          <w:sz w:val="32"/>
        </w:rPr>
      </w:pPr>
      <w:r>
        <w:rPr>
          <w:rFonts w:hint="eastAsia" w:ascii="黑体" w:hAnsi="黑体" w:eastAsia="黑体" w:cs="黑体"/>
          <w:sz w:val="32"/>
        </w:rPr>
        <w:t>二、征地补偿标准</w:t>
      </w:r>
    </w:p>
    <w:p>
      <w:pPr>
        <w:spacing w:line="620" w:lineRule="exact"/>
        <w:ind w:firstLine="480" w:firstLineChars="150"/>
        <w:rPr>
          <w:rFonts w:eastAsia="仿宋_GB2312"/>
          <w:sz w:val="32"/>
          <w:szCs w:val="32"/>
        </w:rPr>
      </w:pPr>
      <w:r>
        <w:rPr>
          <w:rFonts w:hint="eastAsia" w:ascii="仿宋_GB2312" w:eastAsia="仿宋_GB2312"/>
          <w:sz w:val="32"/>
        </w:rPr>
        <w:t>（一）土地补偿费与安置补偿费</w:t>
      </w:r>
    </w:p>
    <w:p>
      <w:pPr>
        <w:spacing w:beforeLines="50"/>
        <w:jc w:val="center"/>
        <w:rPr>
          <w:rFonts w:eastAsia="仿宋_GB2312"/>
          <w:b/>
          <w:bCs/>
          <w:sz w:val="28"/>
          <w:szCs w:val="28"/>
        </w:rPr>
      </w:pPr>
    </w:p>
    <w:p>
      <w:pPr>
        <w:spacing w:line="6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土地补偿费与安置补偿费一览表（平东村）</w:t>
      </w:r>
    </w:p>
    <w:p>
      <w:pPr>
        <w:spacing w:line="620" w:lineRule="exact"/>
        <w:jc w:val="right"/>
        <w:rPr>
          <w:rFonts w:ascii="仿宋_GB2312" w:hAnsi="仿宋_GB2312" w:eastAsia="仿宋_GB2312" w:cs="仿宋_GB2312"/>
          <w:sz w:val="24"/>
        </w:rPr>
      </w:pPr>
      <w:r>
        <w:rPr>
          <w:rFonts w:hint="eastAsia" w:ascii="仿宋_GB2312" w:hAnsi="仿宋_GB2312" w:eastAsia="仿宋_GB2312" w:cs="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25"/>
        <w:gridCol w:w="974"/>
        <w:gridCol w:w="1124"/>
        <w:gridCol w:w="992"/>
        <w:gridCol w:w="1163"/>
        <w:gridCol w:w="994"/>
        <w:gridCol w:w="1274"/>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jc w:val="center"/>
              <w:rPr>
                <w:rFonts w:eastAsia="仿宋_GB2312"/>
                <w:b/>
                <w:bCs/>
                <w:sz w:val="24"/>
              </w:rPr>
            </w:pPr>
            <w:r>
              <w:rPr>
                <w:rFonts w:hint="eastAsia" w:eastAsia="仿宋_GB2312"/>
                <w:b/>
                <w:bCs/>
                <w:sz w:val="24"/>
              </w:rPr>
              <w:t>单位</w:t>
            </w:r>
          </w:p>
        </w:tc>
        <w:tc>
          <w:tcPr>
            <w:tcW w:w="1799" w:type="dxa"/>
            <w:gridSpan w:val="2"/>
            <w:vMerge w:val="restart"/>
            <w:vAlign w:val="center"/>
          </w:tcPr>
          <w:p>
            <w:pPr>
              <w:jc w:val="center"/>
              <w:rPr>
                <w:rFonts w:eastAsia="仿宋_GB2312"/>
                <w:b/>
                <w:bCs/>
                <w:sz w:val="24"/>
              </w:rPr>
            </w:pPr>
            <w:r>
              <w:rPr>
                <w:rFonts w:hint="eastAsia" w:eastAsia="仿宋_GB2312"/>
                <w:b/>
                <w:bCs/>
                <w:sz w:val="24"/>
              </w:rPr>
              <w:t>土地类别</w:t>
            </w:r>
          </w:p>
        </w:tc>
        <w:tc>
          <w:tcPr>
            <w:tcW w:w="1124" w:type="dxa"/>
            <w:vMerge w:val="restart"/>
            <w:vAlign w:val="center"/>
          </w:tcPr>
          <w:p>
            <w:pPr>
              <w:jc w:val="center"/>
              <w:rPr>
                <w:rFonts w:eastAsia="仿宋_GB2312"/>
                <w:b/>
                <w:bCs/>
                <w:sz w:val="24"/>
              </w:rPr>
            </w:pPr>
            <w:r>
              <w:rPr>
                <w:rFonts w:hint="eastAsia" w:eastAsia="仿宋_GB2312"/>
                <w:b/>
                <w:bCs/>
                <w:sz w:val="24"/>
              </w:rPr>
              <w:t>面积</w:t>
            </w:r>
          </w:p>
        </w:tc>
        <w:tc>
          <w:tcPr>
            <w:tcW w:w="2155" w:type="dxa"/>
            <w:gridSpan w:val="2"/>
            <w:vAlign w:val="center"/>
          </w:tcPr>
          <w:p>
            <w:pPr>
              <w:jc w:val="center"/>
              <w:rPr>
                <w:rFonts w:eastAsia="仿宋_GB2312"/>
                <w:b/>
                <w:bCs/>
                <w:sz w:val="24"/>
              </w:rPr>
            </w:pPr>
            <w:r>
              <w:rPr>
                <w:rFonts w:hint="eastAsia" w:eastAsia="仿宋_GB2312"/>
                <w:b/>
                <w:bCs/>
                <w:sz w:val="24"/>
              </w:rPr>
              <w:t>土地补偿费</w:t>
            </w:r>
          </w:p>
        </w:tc>
        <w:tc>
          <w:tcPr>
            <w:tcW w:w="2268" w:type="dxa"/>
            <w:gridSpan w:val="2"/>
            <w:vAlign w:val="center"/>
          </w:tcPr>
          <w:p>
            <w:pPr>
              <w:jc w:val="center"/>
              <w:rPr>
                <w:rFonts w:eastAsia="仿宋_GB2312"/>
                <w:b/>
                <w:bCs/>
                <w:sz w:val="24"/>
              </w:rPr>
            </w:pPr>
            <w:r>
              <w:rPr>
                <w:rFonts w:hint="eastAsia" w:eastAsia="仿宋_GB2312"/>
                <w:b/>
                <w:bCs/>
                <w:sz w:val="24"/>
              </w:rPr>
              <w:t>安置补偿费</w:t>
            </w:r>
          </w:p>
        </w:tc>
        <w:tc>
          <w:tcPr>
            <w:tcW w:w="1238" w:type="dxa"/>
            <w:vAlign w:val="center"/>
          </w:tcPr>
          <w:p>
            <w:pPr>
              <w:jc w:val="center"/>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jc w:val="center"/>
              <w:rPr>
                <w:rFonts w:eastAsia="仿宋_GB2312"/>
                <w:b/>
                <w:bCs/>
                <w:sz w:val="24"/>
              </w:rPr>
            </w:pPr>
          </w:p>
        </w:tc>
        <w:tc>
          <w:tcPr>
            <w:tcW w:w="17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163"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994"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标准</w:t>
            </w:r>
          </w:p>
        </w:tc>
        <w:tc>
          <w:tcPr>
            <w:tcW w:w="1274" w:type="dxa"/>
            <w:vAlign w:val="center"/>
          </w:tcPr>
          <w:p>
            <w:pPr>
              <w:jc w:val="center"/>
              <w:rPr>
                <w:rFonts w:eastAsia="仿宋_GB2312"/>
                <w:b/>
                <w:bCs/>
                <w:sz w:val="24"/>
              </w:rPr>
            </w:pPr>
            <w:r>
              <w:rPr>
                <w:rFonts w:hint="eastAsia" w:eastAsia="仿宋_GB2312"/>
                <w:b/>
                <w:bCs/>
                <w:sz w:val="24"/>
              </w:rPr>
              <w:t>补偿</w:t>
            </w:r>
          </w:p>
          <w:p>
            <w:pPr>
              <w:jc w:val="center"/>
              <w:rPr>
                <w:rFonts w:eastAsia="仿宋_GB2312"/>
                <w:b/>
                <w:bCs/>
                <w:sz w:val="24"/>
              </w:rPr>
            </w:pPr>
            <w:r>
              <w:rPr>
                <w:rFonts w:hint="eastAsia" w:eastAsia="仿宋_GB2312"/>
                <w:b/>
                <w:bCs/>
                <w:sz w:val="24"/>
              </w:rPr>
              <w:t>金额</w:t>
            </w:r>
          </w:p>
        </w:tc>
        <w:tc>
          <w:tcPr>
            <w:tcW w:w="1238"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restart"/>
            <w:vAlign w:val="center"/>
          </w:tcPr>
          <w:p>
            <w:pPr>
              <w:widowControl/>
              <w:textAlignment w:val="center"/>
              <w:rPr>
                <w:rFonts w:eastAsia="仿宋_GB2312"/>
                <w:sz w:val="24"/>
              </w:rPr>
            </w:pPr>
            <w:r>
              <w:rPr>
                <w:rFonts w:hint="eastAsia" w:eastAsia="仿宋_GB2312"/>
                <w:sz w:val="24"/>
              </w:rPr>
              <w:t>平东村第十一经济合作社、第十二经济合作社、第十三经济合作社</w:t>
            </w:r>
          </w:p>
        </w:tc>
        <w:tc>
          <w:tcPr>
            <w:tcW w:w="825" w:type="dxa"/>
            <w:vMerge w:val="restart"/>
            <w:vAlign w:val="center"/>
          </w:tcPr>
          <w:p>
            <w:pPr>
              <w:jc w:val="center"/>
              <w:rPr>
                <w:rFonts w:eastAsia="仿宋_GB2312"/>
                <w:sz w:val="24"/>
              </w:rPr>
            </w:pPr>
            <w:r>
              <w:rPr>
                <w:rFonts w:hint="eastAsia" w:eastAsia="仿宋_GB2312"/>
                <w:sz w:val="24"/>
              </w:rPr>
              <w:t>耕地</w:t>
            </w:r>
          </w:p>
        </w:tc>
        <w:tc>
          <w:tcPr>
            <w:tcW w:w="974" w:type="dxa"/>
            <w:vAlign w:val="center"/>
          </w:tcPr>
          <w:p>
            <w:pPr>
              <w:jc w:val="center"/>
              <w:rPr>
                <w:rFonts w:eastAsia="仿宋_GB2312"/>
                <w:sz w:val="24"/>
              </w:rPr>
            </w:pPr>
            <w:r>
              <w:rPr>
                <w:rFonts w:hint="eastAsia" w:eastAsia="仿宋_GB2312"/>
                <w:sz w:val="24"/>
              </w:rPr>
              <w:t>水田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continue"/>
            <w:vAlign w:val="center"/>
          </w:tcPr>
          <w:p>
            <w:pPr>
              <w:jc w:val="center"/>
              <w:rPr>
                <w:rFonts w:eastAsia="仿宋_GB2312"/>
                <w:sz w:val="24"/>
              </w:rPr>
            </w:pPr>
          </w:p>
        </w:tc>
        <w:tc>
          <w:tcPr>
            <w:tcW w:w="8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水浇地</w:t>
            </w:r>
          </w:p>
        </w:tc>
        <w:tc>
          <w:tcPr>
            <w:tcW w:w="1124" w:type="dxa"/>
            <w:vAlign w:val="center"/>
          </w:tcPr>
          <w:p>
            <w:pPr>
              <w:jc w:val="center"/>
              <w:rPr>
                <w:rFonts w:cs="宋体"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1" w:type="dxa"/>
            <w:vMerge w:val="continue"/>
            <w:vAlign w:val="center"/>
          </w:tcPr>
          <w:p>
            <w:pPr>
              <w:jc w:val="center"/>
              <w:rPr>
                <w:rFonts w:eastAsia="仿宋_GB2312"/>
                <w:sz w:val="24"/>
              </w:rPr>
            </w:pPr>
          </w:p>
        </w:tc>
        <w:tc>
          <w:tcPr>
            <w:tcW w:w="8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hint="eastAsia" w:eastAsia="仿宋_GB2312"/>
                <w:sz w:val="24"/>
              </w:rPr>
              <w:t>旱地</w:t>
            </w:r>
          </w:p>
        </w:tc>
        <w:tc>
          <w:tcPr>
            <w:tcW w:w="1124" w:type="dxa"/>
            <w:vAlign w:val="center"/>
          </w:tcPr>
          <w:p>
            <w:pPr>
              <w:jc w:val="center"/>
              <w:rPr>
                <w:rFonts w:cs="宋体"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园地</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0.2999</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35.988</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35.988</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林地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其他农用地</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0.1126</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13.512</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13.512</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养殖水面</w:t>
            </w:r>
          </w:p>
        </w:tc>
        <w:tc>
          <w:tcPr>
            <w:tcW w:w="11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0.0250</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16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99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120</w:t>
            </w:r>
          </w:p>
        </w:tc>
        <w:tc>
          <w:tcPr>
            <w:tcW w:w="127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建设用地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1799" w:type="dxa"/>
            <w:gridSpan w:val="2"/>
            <w:vAlign w:val="center"/>
          </w:tcPr>
          <w:p>
            <w:pPr>
              <w:jc w:val="center"/>
              <w:rPr>
                <w:rFonts w:eastAsia="仿宋_GB2312"/>
                <w:sz w:val="24"/>
              </w:rPr>
            </w:pPr>
            <w:r>
              <w:rPr>
                <w:rFonts w:hint="eastAsia" w:eastAsia="仿宋_GB2312"/>
                <w:sz w:val="24"/>
              </w:rPr>
              <w:t>未利用地</w:t>
            </w:r>
          </w:p>
        </w:tc>
        <w:tc>
          <w:tcPr>
            <w:tcW w:w="1124" w:type="dxa"/>
            <w:vAlign w:val="center"/>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p>
        </w:tc>
        <w:tc>
          <w:tcPr>
            <w:tcW w:w="1163" w:type="dxa"/>
            <w:vAlign w:val="center"/>
          </w:tcPr>
          <w:p>
            <w:pPr>
              <w:jc w:val="center"/>
              <w:rPr>
                <w:rFonts w:asciiTheme="minorEastAsia" w:hAnsiTheme="minorEastAsia" w:eastAsiaTheme="minorEastAsia"/>
                <w:szCs w:val="21"/>
              </w:rPr>
            </w:pPr>
          </w:p>
        </w:tc>
        <w:tc>
          <w:tcPr>
            <w:tcW w:w="994" w:type="dxa"/>
            <w:vAlign w:val="center"/>
          </w:tcPr>
          <w:p>
            <w:pPr>
              <w:jc w:val="center"/>
              <w:rPr>
                <w:rFonts w:asciiTheme="minorEastAsia" w:hAnsiTheme="minorEastAsia" w:eastAsiaTheme="minorEastAsia"/>
                <w:szCs w:val="21"/>
              </w:rPr>
            </w:pPr>
          </w:p>
        </w:tc>
        <w:tc>
          <w:tcPr>
            <w:tcW w:w="1274" w:type="dxa"/>
            <w:vAlign w:val="center"/>
          </w:tcPr>
          <w:p>
            <w:pPr>
              <w:jc w:val="center"/>
              <w:rPr>
                <w:rFonts w:asciiTheme="minorEastAsia" w:hAnsiTheme="minorEastAsia" w:eastAsiaTheme="minorEastAsia"/>
                <w:szCs w:val="21"/>
              </w:rPr>
            </w:pPr>
          </w:p>
        </w:tc>
        <w:tc>
          <w:tcPr>
            <w:tcW w:w="1238"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1" w:type="dxa"/>
            <w:vMerge w:val="continue"/>
            <w:vAlign w:val="center"/>
          </w:tcPr>
          <w:p>
            <w:pPr>
              <w:jc w:val="center"/>
              <w:rPr>
                <w:rFonts w:eastAsia="仿宋_GB2312"/>
                <w:sz w:val="24"/>
              </w:rPr>
            </w:pPr>
          </w:p>
        </w:tc>
        <w:tc>
          <w:tcPr>
            <w:tcW w:w="7346" w:type="dxa"/>
            <w:gridSpan w:val="7"/>
            <w:vAlign w:val="center"/>
          </w:tcPr>
          <w:p>
            <w:pPr>
              <w:jc w:val="center"/>
              <w:rPr>
                <w:rFonts w:asciiTheme="minorEastAsia" w:hAnsiTheme="minorEastAsia" w:eastAsiaTheme="minorEastAsia"/>
                <w:szCs w:val="21"/>
              </w:rPr>
            </w:pPr>
            <w:r>
              <w:rPr>
                <w:rFonts w:hint="eastAsia" w:eastAsia="仿宋_GB2312"/>
                <w:sz w:val="24"/>
              </w:rPr>
              <w:t>土地补偿费与安置补偿费合计</w:t>
            </w:r>
          </w:p>
        </w:tc>
        <w:tc>
          <w:tcPr>
            <w:tcW w:w="123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105</w:t>
            </w:r>
          </w:p>
        </w:tc>
      </w:tr>
    </w:tbl>
    <w:p>
      <w:pPr>
        <w:spacing w:line="620" w:lineRule="exact"/>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ins w:id="1" w:author="SFJ" w:date="2021-05-14T20:19:58Z">
        <w:r>
          <w:rPr>
            <w:rFonts w:hint="eastAsia" w:eastAsia="仿宋_GB2312"/>
            <w:sz w:val="32"/>
            <w:szCs w:val="32"/>
          </w:rPr>
          <w:t>备注：因被征收土地的现状调查数据变化导致补偿金额调整的，在支付补偿款时重新计算补偿金额并作出差额补足。</w:t>
        </w:r>
      </w:ins>
    </w:p>
    <w:p>
      <w:pPr>
        <w:spacing w:line="620" w:lineRule="exact"/>
        <w:ind w:firstLine="640" w:firstLineChars="200"/>
        <w:rPr>
          <w:rFonts w:ascii="仿宋_GB2312" w:eastAsia="仿宋_GB2312"/>
          <w:sz w:val="32"/>
        </w:rPr>
      </w:pPr>
      <w:r>
        <w:rPr>
          <w:rFonts w:hint="eastAsia" w:ascii="仿宋_GB2312" w:eastAsia="仿宋_GB2312"/>
          <w:sz w:val="32"/>
        </w:rPr>
        <w:t>（二）青苗补偿费及地上附着物补偿费。征地范围内的青苗补偿费及地上附着物补偿费等其他补偿费用按</w:t>
      </w:r>
      <w:ins w:id="2" w:author="SFJ" w:date="2021-05-14T20:20:58Z">
        <w:r>
          <w:rPr>
            <w:rFonts w:hint="eastAsia" w:eastAsia="仿宋_GB2312"/>
            <w:color w:val="auto"/>
            <w:sz w:val="32"/>
            <w:szCs w:val="32"/>
          </w:rPr>
          <w:t>《广州市人民政府办公厅关于印发广州市农民集体所有土地征收补偿试行办法的通知》（穗府办规〔2017〕10号）《广州市花都区人民政府办公室印发花都区片区征地包干补偿工作方案的通知》（花府办[2016] 12号）等</w:t>
        </w:r>
      </w:ins>
      <w:ins w:id="3" w:author="SFJ" w:date="2021-05-14T20:20:58Z">
        <w:r>
          <w:rPr>
            <w:rFonts w:hint="eastAsia" w:eastAsia="仿宋_GB2312"/>
            <w:color w:val="auto"/>
            <w:sz w:val="32"/>
            <w:szCs w:val="32"/>
            <w:lang w:eastAsia="zh-CN"/>
          </w:rPr>
          <w:t>有关</w:t>
        </w:r>
      </w:ins>
      <w:ins w:id="4" w:author="SFJ" w:date="2021-05-14T20:20:58Z">
        <w:r>
          <w:rPr>
            <w:rFonts w:hint="eastAsia" w:eastAsia="仿宋_GB2312"/>
            <w:color w:val="auto"/>
            <w:sz w:val="32"/>
            <w:szCs w:val="32"/>
          </w:rPr>
          <w:t>规定</w:t>
        </w:r>
      </w:ins>
      <w:del w:id="5" w:author="SFJ" w:date="2021-05-14T20:20:58Z">
        <w:r>
          <w:rPr>
            <w:rFonts w:hint="eastAsia" w:ascii="仿宋_GB2312" w:eastAsia="仿宋_GB2312"/>
            <w:sz w:val="32"/>
          </w:rPr>
          <w:delText>政府有关规定</w:delText>
        </w:r>
      </w:del>
      <w:r>
        <w:rPr>
          <w:rFonts w:hint="eastAsia" w:ascii="仿宋_GB2312" w:eastAsia="仿宋_GB2312"/>
          <w:sz w:val="32"/>
        </w:rPr>
        <w:t>进行补偿。</w:t>
      </w:r>
    </w:p>
    <w:p>
      <w:pPr>
        <w:spacing w:line="620" w:lineRule="exact"/>
        <w:ind w:firstLine="640" w:firstLineChars="200"/>
        <w:rPr>
          <w:rFonts w:ascii="仿宋_GB2312" w:eastAsia="仿宋_GB2312"/>
          <w:sz w:val="32"/>
        </w:rPr>
      </w:pPr>
      <w:r>
        <w:rPr>
          <w:rFonts w:hint="eastAsia" w:ascii="仿宋_GB2312" w:eastAsia="仿宋_GB2312"/>
          <w:sz w:val="32"/>
        </w:rPr>
        <w:t>（三）农业人口安置。本次征收土地所涉及的被安置农业人员由被征地村以货币补偿的形式安置。征地批复后，由被征地农村经济组织在征地公告期内到广州市规划和自然资源局花都区分局领取办理安置农业人口征地农转非手续的函件。</w:t>
      </w:r>
    </w:p>
    <w:p>
      <w:pPr>
        <w:spacing w:line="620" w:lineRule="exact"/>
        <w:ind w:firstLine="640" w:firstLineChars="200"/>
        <w:rPr>
          <w:rFonts w:ascii="黑体" w:hAnsi="黑体" w:eastAsia="黑体" w:cs="黑体"/>
          <w:sz w:val="32"/>
        </w:rPr>
      </w:pPr>
      <w:r>
        <w:rPr>
          <w:rFonts w:hint="eastAsia" w:ascii="黑体" w:hAnsi="黑体" w:eastAsia="黑体" w:cs="黑体"/>
          <w:sz w:val="32"/>
        </w:rPr>
        <w:t>三、安置措施情况</w:t>
      </w:r>
    </w:p>
    <w:p>
      <w:pPr>
        <w:spacing w:line="620" w:lineRule="exact"/>
        <w:ind w:firstLine="640" w:firstLineChars="200"/>
        <w:rPr>
          <w:rFonts w:ascii="仿宋_GB2312" w:eastAsia="仿宋_GB2312"/>
          <w:sz w:val="32"/>
        </w:rPr>
      </w:pPr>
      <w:r>
        <w:rPr>
          <w:rFonts w:hint="eastAsia" w:ascii="仿宋_GB2312" w:eastAsia="仿宋_GB2312"/>
          <w:sz w:val="32"/>
        </w:rPr>
        <w:t>为妥善安置被征地农民，切实解决被征地农民的生产生活出路。在保证货币安置落实的同时，我区根据《广州市人民政府办公厅关于进一步加强征收农村集体土地留用地管理的意见》（穗府办规〔2018〕17号），留用地按实际征地面积的10%安排</w:t>
      </w:r>
      <w:del w:id="6" w:author="SFJ" w:date="2021-05-14T20:22:47Z">
        <w:r>
          <w:rPr>
            <w:rFonts w:hint="eastAsia" w:ascii="仿宋_GB2312" w:eastAsia="仿宋_GB2312"/>
            <w:sz w:val="32"/>
          </w:rPr>
          <w:delText>留</w:delText>
        </w:r>
      </w:del>
      <w:del w:id="7" w:author="SFJ" w:date="2021-05-14T20:22:52Z">
        <w:r>
          <w:rPr>
            <w:rFonts w:hint="eastAsia" w:ascii="仿宋_GB2312" w:eastAsia="仿宋_GB2312"/>
            <w:sz w:val="32"/>
          </w:rPr>
          <w:delText>用地</w:delText>
        </w:r>
      </w:del>
      <w:r>
        <w:rPr>
          <w:rFonts w:hint="eastAsia" w:ascii="仿宋_GB2312" w:eastAsia="仿宋_GB2312"/>
          <w:sz w:val="32"/>
        </w:rPr>
        <w:t>，总面积0.04375公顷，留用地面积少于3亩且村集体同意延后解决，与其他征地项目留用地合并累计安排，在批准用地后一年内办理留用地报批手续；给上述被征地农民落实基本养老保障和培训就业等社会保障措施，确保被征地农民的原有生活水平不降低，长远生计有保障，具体将按省的征地社会保障实施方案办理。</w:t>
      </w:r>
    </w:p>
    <w:p>
      <w:pPr>
        <w:spacing w:line="620" w:lineRule="exact"/>
        <w:ind w:firstLine="640" w:firstLineChars="200"/>
        <w:rPr>
          <w:rFonts w:ascii="黑体" w:hAnsi="黑体" w:eastAsia="黑体" w:cs="黑体"/>
          <w:sz w:val="32"/>
        </w:rPr>
      </w:pPr>
      <w:r>
        <w:rPr>
          <w:rFonts w:hint="eastAsia" w:ascii="黑体" w:hAnsi="黑体" w:eastAsia="黑体" w:cs="黑体"/>
          <w:sz w:val="32"/>
        </w:rPr>
        <w:t>四、其他事项</w:t>
      </w:r>
    </w:p>
    <w:p>
      <w:pPr>
        <w:spacing w:line="620" w:lineRule="exact"/>
        <w:ind w:firstLine="640" w:firstLineChars="200"/>
        <w:rPr>
          <w:rFonts w:ascii="仿宋_GB2312" w:eastAsia="仿宋_GB2312"/>
          <w:sz w:val="32"/>
        </w:rPr>
      </w:pPr>
      <w:r>
        <w:rPr>
          <w:rFonts w:hint="eastAsia" w:ascii="仿宋_GB2312" w:eastAsia="仿宋_GB2312"/>
          <w:sz w:val="32"/>
        </w:rPr>
        <w:t>根据《中华人民共和国土地管理法实施条例》第二十五条的规定，若当事人对本征地补偿安置标准有异议，不影响本方案的组织实施。</w:t>
      </w:r>
    </w:p>
    <w:p>
      <w:pPr>
        <w:spacing w:line="520" w:lineRule="exact"/>
        <w:ind w:firstLine="480" w:firstLineChars="200"/>
        <w:rPr>
          <w:rFonts w:ascii="宋体" w:hAnsi="宋体"/>
          <w:color w:val="FF0000"/>
          <w:sz w:val="24"/>
        </w:rPr>
      </w:pPr>
    </w:p>
    <w:p>
      <w:pPr>
        <w:spacing w:line="520" w:lineRule="exact"/>
        <w:ind w:firstLine="640" w:firstLineChars="200"/>
        <w:rPr>
          <w:rFonts w:hAnsi="仿宋_GB2312" w:eastAsia="仿宋_GB2312"/>
          <w:sz w:val="32"/>
          <w:szCs w:val="32"/>
        </w:rPr>
      </w:pPr>
    </w:p>
    <w:p>
      <w:pPr>
        <w:spacing w:line="520" w:lineRule="exact"/>
        <w:jc w:val="right"/>
        <w:rPr>
          <w:del w:id="8" w:author="NTKO" w:date="2023-10-11T16:50:11Z"/>
          <w:rFonts w:hint="eastAsia" w:hAnsi="仿宋_GB2312" w:eastAsia="仿宋_GB2312"/>
          <w:sz w:val="32"/>
          <w:szCs w:val="32"/>
        </w:rPr>
      </w:pPr>
      <w:del w:id="9" w:author="NTKO" w:date="2023-10-11T16:50:11Z">
        <w:r>
          <w:rPr>
            <w:rFonts w:hint="eastAsia" w:hAnsi="仿宋_GB2312" w:eastAsia="仿宋_GB2312"/>
            <w:sz w:val="32"/>
            <w:szCs w:val="32"/>
          </w:rPr>
          <w:delText>广州市花都区人民政府</w:delText>
        </w:r>
      </w:del>
    </w:p>
    <w:p>
      <w:pPr>
        <w:spacing w:line="520" w:lineRule="exact"/>
        <w:jc w:val="right"/>
        <w:rPr>
          <w:ins w:id="10" w:author="NTKO" w:date="2023-10-11T16:50:23Z"/>
          <w:rFonts w:hint="eastAsia" w:hAnsi="仿宋_GB2312" w:eastAsia="仿宋_GB2312"/>
          <w:sz w:val="32"/>
          <w:szCs w:val="32"/>
          <w:lang w:eastAsia="zh-CN"/>
        </w:rPr>
      </w:pPr>
      <w:ins w:id="11" w:author="NTKO" w:date="2023-10-11T16:50:11Z">
        <w:r>
          <w:rPr>
            <w:rFonts w:hint="eastAsia" w:hAnsi="仿宋_GB2312" w:eastAsia="仿宋_GB2312"/>
            <w:sz w:val="32"/>
            <w:szCs w:val="32"/>
            <w:lang w:eastAsia="zh-CN"/>
          </w:rPr>
          <w:t>广州市</w:t>
        </w:r>
      </w:ins>
      <w:ins w:id="12" w:author="NTKO" w:date="2023-10-11T16:50:15Z">
        <w:r>
          <w:rPr>
            <w:rFonts w:hint="eastAsia" w:hAnsi="仿宋_GB2312" w:eastAsia="仿宋_GB2312"/>
            <w:sz w:val="32"/>
            <w:szCs w:val="32"/>
            <w:lang w:eastAsia="zh-CN"/>
          </w:rPr>
          <w:t>规划</w:t>
        </w:r>
      </w:ins>
      <w:ins w:id="13" w:author="NTKO" w:date="2023-10-11T16:50:16Z">
        <w:r>
          <w:rPr>
            <w:rFonts w:hint="eastAsia" w:hAnsi="仿宋_GB2312" w:eastAsia="仿宋_GB2312"/>
            <w:sz w:val="32"/>
            <w:szCs w:val="32"/>
            <w:lang w:eastAsia="zh-CN"/>
          </w:rPr>
          <w:t>和</w:t>
        </w:r>
      </w:ins>
      <w:ins w:id="14" w:author="NTKO" w:date="2023-10-11T16:50:17Z">
        <w:r>
          <w:rPr>
            <w:rFonts w:hint="eastAsia" w:hAnsi="仿宋_GB2312" w:eastAsia="仿宋_GB2312"/>
            <w:sz w:val="32"/>
            <w:szCs w:val="32"/>
            <w:lang w:eastAsia="zh-CN"/>
          </w:rPr>
          <w:t>自然</w:t>
        </w:r>
      </w:ins>
      <w:ins w:id="15" w:author="NTKO" w:date="2023-10-11T16:50:19Z">
        <w:r>
          <w:rPr>
            <w:rFonts w:hint="eastAsia" w:hAnsi="仿宋_GB2312" w:eastAsia="仿宋_GB2312"/>
            <w:sz w:val="32"/>
            <w:szCs w:val="32"/>
            <w:lang w:eastAsia="zh-CN"/>
          </w:rPr>
          <w:t>资源</w:t>
        </w:r>
      </w:ins>
      <w:ins w:id="16" w:author="NTKO" w:date="2023-10-11T16:50:20Z">
        <w:r>
          <w:rPr>
            <w:rFonts w:hint="eastAsia" w:hAnsi="仿宋_GB2312" w:eastAsia="仿宋_GB2312"/>
            <w:sz w:val="32"/>
            <w:szCs w:val="32"/>
            <w:lang w:eastAsia="zh-CN"/>
          </w:rPr>
          <w:t>局</w:t>
        </w:r>
      </w:ins>
      <w:ins w:id="17" w:author="NTKO" w:date="2023-10-11T16:50:22Z">
        <w:r>
          <w:rPr>
            <w:rFonts w:hint="eastAsia" w:hAnsi="仿宋_GB2312" w:eastAsia="仿宋_GB2312"/>
            <w:sz w:val="32"/>
            <w:szCs w:val="32"/>
            <w:lang w:eastAsia="zh-CN"/>
          </w:rPr>
          <w:t>花都区</w:t>
        </w:r>
      </w:ins>
      <w:ins w:id="18" w:author="NTKO" w:date="2023-10-11T16:50:23Z">
        <w:r>
          <w:rPr>
            <w:rFonts w:hint="eastAsia" w:hAnsi="仿宋_GB2312" w:eastAsia="仿宋_GB2312"/>
            <w:sz w:val="32"/>
            <w:szCs w:val="32"/>
            <w:lang w:eastAsia="zh-CN"/>
          </w:rPr>
          <w:t>分局</w:t>
        </w:r>
      </w:ins>
    </w:p>
    <w:p>
      <w:pPr>
        <w:spacing w:line="520" w:lineRule="exact"/>
        <w:jc w:val="right"/>
        <w:rPr>
          <w:rFonts w:ascii="宋体" w:hAnsi="宋体"/>
          <w:sz w:val="24"/>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del w:id="19" w:author="NTKO" w:date="2023-10-11T16:50:31Z">
        <w:r>
          <w:rPr>
            <w:rFonts w:hint="default" w:ascii="仿宋_GB2312" w:hAnsi="仿宋_GB2312" w:eastAsia="仿宋_GB2312" w:cs="仿宋_GB2312"/>
            <w:sz w:val="32"/>
            <w:szCs w:val="32"/>
            <w:lang w:val="en-US"/>
          </w:rPr>
          <w:delText xml:space="preserve">  </w:delText>
        </w:r>
      </w:del>
      <w:ins w:id="20" w:author="NTKO" w:date="2023-10-11T16:50:31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rPr>
        <w:t>月</w:t>
      </w:r>
      <w:del w:id="21" w:author="NTKO" w:date="2023-10-11T16:50:33Z">
        <w:r>
          <w:rPr>
            <w:rFonts w:hint="default" w:ascii="仿宋_GB2312" w:hAnsi="仿宋_GB2312" w:eastAsia="仿宋_GB2312" w:cs="仿宋_GB2312"/>
            <w:sz w:val="32"/>
            <w:szCs w:val="32"/>
            <w:lang w:val="en-US"/>
          </w:rPr>
          <w:delText xml:space="preserve">  </w:delText>
        </w:r>
      </w:del>
      <w:ins w:id="22" w:author="NTKO" w:date="2023-10-11T16:50:33Z">
        <w:r>
          <w:rPr>
            <w:rFonts w:hint="eastAsia" w:ascii="仿宋_GB2312" w:hAnsi="仿宋_GB2312" w:eastAsia="仿宋_GB2312" w:cs="仿宋_GB2312"/>
            <w:sz w:val="32"/>
            <w:szCs w:val="32"/>
            <w:lang w:val="en-US" w:eastAsia="zh-CN"/>
          </w:rPr>
          <w:t>7</w:t>
        </w:r>
      </w:ins>
      <w:r>
        <w:rPr>
          <w:rFonts w:hint="eastAsia" w:ascii="仿宋_GB2312" w:hAnsi="仿宋_GB2312" w:eastAsia="仿宋_GB2312" w:cs="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FJ">
    <w15:presenceInfo w15:providerId="None" w15:userId="SFJ"/>
  </w15:person>
  <w15:person w15:author="NTKO">
    <w15:presenceInfo w15:providerId="None" w15:userId="NTKO"/>
  </w15:person>
  <w15:person w15:author="陆倩茹">
    <w15:presenceInfo w15:providerId="None" w15:userId="陆倩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F3"/>
    <w:rsid w:val="000259EC"/>
    <w:rsid w:val="00046479"/>
    <w:rsid w:val="00083A9C"/>
    <w:rsid w:val="00094904"/>
    <w:rsid w:val="000B61A4"/>
    <w:rsid w:val="000C26E7"/>
    <w:rsid w:val="000C7A2F"/>
    <w:rsid w:val="00104D4A"/>
    <w:rsid w:val="00115B99"/>
    <w:rsid w:val="00121551"/>
    <w:rsid w:val="00127188"/>
    <w:rsid w:val="0013451A"/>
    <w:rsid w:val="00143A6E"/>
    <w:rsid w:val="0015151A"/>
    <w:rsid w:val="00151ED8"/>
    <w:rsid w:val="00157041"/>
    <w:rsid w:val="00170253"/>
    <w:rsid w:val="00172A27"/>
    <w:rsid w:val="001823A7"/>
    <w:rsid w:val="001A443F"/>
    <w:rsid w:val="001D39AE"/>
    <w:rsid w:val="001D74FB"/>
    <w:rsid w:val="001E275D"/>
    <w:rsid w:val="001E6030"/>
    <w:rsid w:val="001F2286"/>
    <w:rsid w:val="0020176A"/>
    <w:rsid w:val="002073CC"/>
    <w:rsid w:val="00213FB1"/>
    <w:rsid w:val="00217E18"/>
    <w:rsid w:val="00252E5A"/>
    <w:rsid w:val="00280353"/>
    <w:rsid w:val="0029061C"/>
    <w:rsid w:val="002B5A34"/>
    <w:rsid w:val="002E7102"/>
    <w:rsid w:val="003036B6"/>
    <w:rsid w:val="0032241B"/>
    <w:rsid w:val="00332A7D"/>
    <w:rsid w:val="00342F85"/>
    <w:rsid w:val="003436C7"/>
    <w:rsid w:val="003746AC"/>
    <w:rsid w:val="0038304F"/>
    <w:rsid w:val="003956C6"/>
    <w:rsid w:val="003D0024"/>
    <w:rsid w:val="003D163F"/>
    <w:rsid w:val="003D281A"/>
    <w:rsid w:val="00411A1B"/>
    <w:rsid w:val="00413DAF"/>
    <w:rsid w:val="00416D8E"/>
    <w:rsid w:val="00451E1D"/>
    <w:rsid w:val="00454AC2"/>
    <w:rsid w:val="004630A4"/>
    <w:rsid w:val="00476A81"/>
    <w:rsid w:val="00483A85"/>
    <w:rsid w:val="0048686E"/>
    <w:rsid w:val="004913A0"/>
    <w:rsid w:val="004A0D3F"/>
    <w:rsid w:val="004A114F"/>
    <w:rsid w:val="004B6BFF"/>
    <w:rsid w:val="004D09C3"/>
    <w:rsid w:val="004D1919"/>
    <w:rsid w:val="004D7E7F"/>
    <w:rsid w:val="004F100B"/>
    <w:rsid w:val="005111FD"/>
    <w:rsid w:val="00522EF4"/>
    <w:rsid w:val="005271AE"/>
    <w:rsid w:val="005357A0"/>
    <w:rsid w:val="00544378"/>
    <w:rsid w:val="00545540"/>
    <w:rsid w:val="005743FE"/>
    <w:rsid w:val="00576B17"/>
    <w:rsid w:val="00576BD1"/>
    <w:rsid w:val="005A4E49"/>
    <w:rsid w:val="005F1581"/>
    <w:rsid w:val="005F1E27"/>
    <w:rsid w:val="005F46A1"/>
    <w:rsid w:val="005F5334"/>
    <w:rsid w:val="006024FC"/>
    <w:rsid w:val="006035D8"/>
    <w:rsid w:val="0060619B"/>
    <w:rsid w:val="00610A4A"/>
    <w:rsid w:val="00615CAA"/>
    <w:rsid w:val="00637EED"/>
    <w:rsid w:val="006438DE"/>
    <w:rsid w:val="00645839"/>
    <w:rsid w:val="00652B87"/>
    <w:rsid w:val="00654C53"/>
    <w:rsid w:val="00655693"/>
    <w:rsid w:val="006563A2"/>
    <w:rsid w:val="00674925"/>
    <w:rsid w:val="00676018"/>
    <w:rsid w:val="00676536"/>
    <w:rsid w:val="0068659F"/>
    <w:rsid w:val="00697B46"/>
    <w:rsid w:val="006A5D68"/>
    <w:rsid w:val="006D27A4"/>
    <w:rsid w:val="006E0E61"/>
    <w:rsid w:val="006F6507"/>
    <w:rsid w:val="007029A2"/>
    <w:rsid w:val="007269B8"/>
    <w:rsid w:val="00734336"/>
    <w:rsid w:val="007368D4"/>
    <w:rsid w:val="007717E7"/>
    <w:rsid w:val="00772F21"/>
    <w:rsid w:val="00781008"/>
    <w:rsid w:val="007852FE"/>
    <w:rsid w:val="007E14C5"/>
    <w:rsid w:val="007F15EB"/>
    <w:rsid w:val="00833C90"/>
    <w:rsid w:val="0083689E"/>
    <w:rsid w:val="00844234"/>
    <w:rsid w:val="0086311C"/>
    <w:rsid w:val="00886363"/>
    <w:rsid w:val="008A6F1A"/>
    <w:rsid w:val="008B134A"/>
    <w:rsid w:val="008C44D6"/>
    <w:rsid w:val="008C44F5"/>
    <w:rsid w:val="008C4F26"/>
    <w:rsid w:val="008D5037"/>
    <w:rsid w:val="008D6365"/>
    <w:rsid w:val="008E023E"/>
    <w:rsid w:val="008F76F1"/>
    <w:rsid w:val="008F7950"/>
    <w:rsid w:val="00A2173B"/>
    <w:rsid w:val="00A30967"/>
    <w:rsid w:val="00A42845"/>
    <w:rsid w:val="00A50A5B"/>
    <w:rsid w:val="00A71A09"/>
    <w:rsid w:val="00A810EE"/>
    <w:rsid w:val="00AA2418"/>
    <w:rsid w:val="00AA655F"/>
    <w:rsid w:val="00AD1869"/>
    <w:rsid w:val="00AD2D84"/>
    <w:rsid w:val="00AE7EB6"/>
    <w:rsid w:val="00B103D3"/>
    <w:rsid w:val="00B245BF"/>
    <w:rsid w:val="00B3449F"/>
    <w:rsid w:val="00B475F4"/>
    <w:rsid w:val="00B53A0D"/>
    <w:rsid w:val="00B83780"/>
    <w:rsid w:val="00B84307"/>
    <w:rsid w:val="00B85200"/>
    <w:rsid w:val="00B9060C"/>
    <w:rsid w:val="00BC56E0"/>
    <w:rsid w:val="00BC7F48"/>
    <w:rsid w:val="00BE7B0D"/>
    <w:rsid w:val="00BF60DE"/>
    <w:rsid w:val="00BF745D"/>
    <w:rsid w:val="00C1343F"/>
    <w:rsid w:val="00C34151"/>
    <w:rsid w:val="00C43BF5"/>
    <w:rsid w:val="00C52CC9"/>
    <w:rsid w:val="00C70AC1"/>
    <w:rsid w:val="00CA0267"/>
    <w:rsid w:val="00CB5667"/>
    <w:rsid w:val="00CE3F2C"/>
    <w:rsid w:val="00CF5672"/>
    <w:rsid w:val="00D17410"/>
    <w:rsid w:val="00D23ED9"/>
    <w:rsid w:val="00D56324"/>
    <w:rsid w:val="00D90775"/>
    <w:rsid w:val="00D91536"/>
    <w:rsid w:val="00D918FC"/>
    <w:rsid w:val="00DB78DD"/>
    <w:rsid w:val="00DC4F39"/>
    <w:rsid w:val="00DD03E7"/>
    <w:rsid w:val="00E20365"/>
    <w:rsid w:val="00E37310"/>
    <w:rsid w:val="00E44B2D"/>
    <w:rsid w:val="00E5270A"/>
    <w:rsid w:val="00E679BF"/>
    <w:rsid w:val="00E72163"/>
    <w:rsid w:val="00E84C41"/>
    <w:rsid w:val="00E95F11"/>
    <w:rsid w:val="00E962C5"/>
    <w:rsid w:val="00EA6195"/>
    <w:rsid w:val="00EC66ED"/>
    <w:rsid w:val="00ED41DB"/>
    <w:rsid w:val="00EE43A2"/>
    <w:rsid w:val="00F20D0F"/>
    <w:rsid w:val="00F35A4F"/>
    <w:rsid w:val="00F35D99"/>
    <w:rsid w:val="00F42F8F"/>
    <w:rsid w:val="00F5072C"/>
    <w:rsid w:val="00F64688"/>
    <w:rsid w:val="00F66A72"/>
    <w:rsid w:val="00F733B8"/>
    <w:rsid w:val="00F76202"/>
    <w:rsid w:val="00F8405C"/>
    <w:rsid w:val="00F873F0"/>
    <w:rsid w:val="00FA553B"/>
    <w:rsid w:val="00FB13C2"/>
    <w:rsid w:val="00FB72BB"/>
    <w:rsid w:val="00FC7708"/>
    <w:rsid w:val="00FE6F6C"/>
    <w:rsid w:val="00FE79A2"/>
    <w:rsid w:val="00FF17BE"/>
    <w:rsid w:val="0CA257AC"/>
    <w:rsid w:val="4E4750B0"/>
    <w:rsid w:val="50555B2F"/>
    <w:rsid w:val="59A03E7C"/>
    <w:rsid w:val="6BE37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电脑室</Company>
  <Pages>3</Pages>
  <Words>182</Words>
  <Characters>1038</Characters>
  <Lines>8</Lines>
  <Paragraphs>2</Paragraphs>
  <TotalTime>8</TotalTime>
  <ScaleCrop>false</ScaleCrop>
  <LinksUpToDate>false</LinksUpToDate>
  <CharactersWithSpaces>1218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陆倩茹</cp:lastModifiedBy>
  <cp:lastPrinted>2021-03-17T03:04:00Z</cp:lastPrinted>
  <dcterms:modified xsi:type="dcterms:W3CDTF">2023-10-12T02:37:50Z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E139031FC73B4ECB8BC2224D006900C2</vt:lpwstr>
  </property>
</Properties>
</file>